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20AAB91"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5F2E2C">
        <w:rPr>
          <w:rFonts w:ascii="Times New Roman" w:eastAsia="Times New Roman" w:hAnsi="Times New Roman" w:cs="Times New Roman"/>
          <w:b/>
          <w:color w:val="00000A"/>
          <w:sz w:val="28"/>
          <w:szCs w:val="28"/>
        </w:rPr>
        <w:t>в</w:t>
      </w:r>
      <w:r w:rsidR="005F2E2C" w:rsidRPr="005F2E2C">
        <w:rPr>
          <w:rFonts w:ascii="Times New Roman" w:eastAsia="Times New Roman" w:hAnsi="Times New Roman" w:cs="Times New Roman"/>
          <w:b/>
          <w:color w:val="00000A"/>
          <w:sz w:val="28"/>
          <w:szCs w:val="28"/>
        </w:rPr>
        <w:t xml:space="preserve">ыполнение работ по SMM-продвижению в социальных сетях, созданию фото и видеоматериалов </w:t>
      </w:r>
      <w:r w:rsidR="003C0309" w:rsidRPr="003C0309">
        <w:rPr>
          <w:rFonts w:ascii="Times New Roman" w:eastAsia="Times New Roman" w:hAnsi="Times New Roman" w:cs="Times New Roman"/>
          <w:b/>
          <w:color w:val="00000A"/>
          <w:sz w:val="28"/>
          <w:szCs w:val="28"/>
        </w:rPr>
        <w:t>для нужд</w:t>
      </w:r>
      <w:r w:rsidR="003A2CD1">
        <w:rPr>
          <w:rFonts w:ascii="Times New Roman" w:eastAsia="Times New Roman" w:hAnsi="Times New Roman" w:cs="Times New Roman"/>
          <w:b/>
          <w:color w:val="00000A"/>
          <w:sz w:val="28"/>
          <w:szCs w:val="28"/>
        </w:rPr>
        <w:t xml:space="preserve"> </w:t>
      </w:r>
      <w:bookmarkEnd w:id="0"/>
      <w:r w:rsidR="008B72ED">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238F93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8B72ED">
        <w:rPr>
          <w:rFonts w:ascii="Times New Roman" w:hAnsi="Times New Roman" w:cs="Times New Roman"/>
          <w:sz w:val="28"/>
          <w:szCs w:val="28"/>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1D1EA272"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5F2E2C" w:rsidRPr="005F2E2C">
        <w:rPr>
          <w:rFonts w:ascii="Times New Roman" w:eastAsia="Times New Roman" w:hAnsi="Times New Roman" w:cs="Times New Roman"/>
          <w:color w:val="00000A"/>
          <w:sz w:val="28"/>
          <w:szCs w:val="28"/>
        </w:rPr>
        <w:t>Выполнение работ по SMM-продвижению в социальных сетях, созданию фото и видеоматериалов для нужд АНО «Авангард»</w:t>
      </w:r>
      <w:r w:rsidR="005F2E2C">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24F844C"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1556BA" w:rsidRPr="001556BA">
        <w:rPr>
          <w:rFonts w:ascii="Times New Roman" w:hAnsi="Times New Roman" w:cs="Times New Roman"/>
          <w:sz w:val="28"/>
          <w:szCs w:val="28"/>
        </w:rPr>
        <w:t xml:space="preserve">26 630 233,33 </w:t>
      </w:r>
      <w:r w:rsidR="00C2693E" w:rsidRPr="00C2693E">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1DBC61B"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3C0309">
        <w:rPr>
          <w:rFonts w:ascii="Times New Roman" w:hAnsi="Times New Roman" w:cs="Times New Roman"/>
          <w:sz w:val="28"/>
          <w:szCs w:val="28"/>
        </w:rPr>
        <w:t>2</w:t>
      </w:r>
      <w:r w:rsidR="00817FBD">
        <w:rPr>
          <w:rFonts w:ascii="Times New Roman" w:hAnsi="Times New Roman" w:cs="Times New Roman"/>
          <w:sz w:val="28"/>
          <w:szCs w:val="28"/>
        </w:rPr>
        <w:t>2</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0B2D53">
        <w:rPr>
          <w:rFonts w:ascii="Times New Roman" w:hAnsi="Times New Roman" w:cs="Times New Roman"/>
          <w:sz w:val="28"/>
          <w:szCs w:val="28"/>
        </w:rPr>
        <w:t>12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634FC68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A7D0C">
        <w:rPr>
          <w:rFonts w:ascii="Times New Roman" w:hAnsi="Times New Roman" w:cs="Times New Roman"/>
          <w:sz w:val="28"/>
          <w:szCs w:val="28"/>
        </w:rPr>
        <w:t>1</w:t>
      </w:r>
      <w:r w:rsidR="00817FBD">
        <w:rPr>
          <w:rFonts w:ascii="Times New Roman" w:hAnsi="Times New Roman" w:cs="Times New Roman"/>
          <w:sz w:val="28"/>
          <w:szCs w:val="28"/>
        </w:rPr>
        <w:t>8</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1556BA">
        <w:rPr>
          <w:rFonts w:ascii="Times New Roman" w:hAnsi="Times New Roman" w:cs="Times New Roman"/>
          <w:sz w:val="28"/>
          <w:szCs w:val="28"/>
        </w:rPr>
        <w:t>2</w:t>
      </w:r>
      <w:r w:rsidR="00817FBD">
        <w:rPr>
          <w:rFonts w:ascii="Times New Roman" w:hAnsi="Times New Roman" w:cs="Times New Roman"/>
          <w:sz w:val="28"/>
          <w:szCs w:val="28"/>
        </w:rPr>
        <w:t>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3C0309">
        <w:rPr>
          <w:rFonts w:ascii="Times New Roman" w:hAnsi="Times New Roman" w:cs="Times New Roman"/>
          <w:sz w:val="28"/>
          <w:szCs w:val="28"/>
        </w:rPr>
        <w:t>2</w:t>
      </w:r>
      <w:r w:rsidR="00817FBD">
        <w:rPr>
          <w:rFonts w:ascii="Times New Roman" w:hAnsi="Times New Roman" w:cs="Times New Roman"/>
          <w:sz w:val="28"/>
          <w:szCs w:val="28"/>
        </w:rPr>
        <w:t>2</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0B2D53">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76B9C51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6B2E7D3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A7D0C">
        <w:rPr>
          <w:rFonts w:ascii="Times New Roman" w:hAnsi="Times New Roman" w:cs="Times New Roman"/>
          <w:sz w:val="28"/>
          <w:szCs w:val="28"/>
        </w:rPr>
        <w:t>1</w:t>
      </w:r>
      <w:r w:rsidR="00817FBD">
        <w:rPr>
          <w:rFonts w:ascii="Times New Roman" w:hAnsi="Times New Roman" w:cs="Times New Roman"/>
          <w:sz w:val="28"/>
          <w:szCs w:val="28"/>
        </w:rPr>
        <w:t>8</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58CBD9F" w:rsidR="006D4ED9" w:rsidRPr="00B44415" w:rsidRDefault="003C0309"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556BA">
        <w:rPr>
          <w:rFonts w:ascii="Times New Roman" w:hAnsi="Times New Roman" w:cs="Times New Roman"/>
          <w:sz w:val="28"/>
          <w:szCs w:val="28"/>
        </w:rPr>
        <w:t>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B8662D">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5CD1E8C0"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CA7D0C">
        <w:rPr>
          <w:rFonts w:ascii="Times New Roman" w:hAnsi="Times New Roman" w:cs="Times New Roman"/>
          <w:sz w:val="28"/>
          <w:szCs w:val="28"/>
        </w:rPr>
        <w:t>1</w:t>
      </w:r>
      <w:r w:rsidR="00FD3EBD">
        <w:rPr>
          <w:rFonts w:ascii="Times New Roman" w:hAnsi="Times New Roman" w:cs="Times New Roman"/>
          <w:sz w:val="28"/>
          <w:szCs w:val="28"/>
        </w:rPr>
        <w:t>8</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1BBEF1D1"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3C0309">
        <w:rPr>
          <w:rFonts w:ascii="Times New Roman" w:hAnsi="Times New Roman" w:cs="Times New Roman"/>
          <w:sz w:val="28"/>
          <w:szCs w:val="28"/>
        </w:rPr>
        <w:t>2</w:t>
      </w:r>
      <w:r w:rsidR="00FD3EBD">
        <w:rPr>
          <w:rFonts w:ascii="Times New Roman" w:hAnsi="Times New Roman" w:cs="Times New Roman"/>
          <w:sz w:val="28"/>
          <w:szCs w:val="28"/>
        </w:rPr>
        <w:t>2</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473E6B4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 договор</w:t>
      </w:r>
      <w:r w:rsidR="003C0309">
        <w:rPr>
          <w:rFonts w:ascii="Times New Roman" w:hAnsi="Times New Roman" w:cs="Times New Roman"/>
          <w:sz w:val="28"/>
          <w:szCs w:val="28"/>
        </w:rPr>
        <w:t>а</w:t>
      </w:r>
      <w:r w:rsidRPr="00B44415">
        <w:rPr>
          <w:rFonts w:ascii="Times New Roman" w:hAnsi="Times New Roman" w:cs="Times New Roman"/>
          <w:sz w:val="28"/>
          <w:szCs w:val="28"/>
        </w:rPr>
        <w:t>.</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7263FD54"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1556BA">
        <w:rPr>
          <w:rFonts w:ascii="Times New Roman" w:hAnsi="Times New Roman" w:cs="Times New Roman"/>
          <w:sz w:val="28"/>
          <w:szCs w:val="28"/>
        </w:rPr>
        <w:t>в</w:t>
      </w:r>
      <w:r w:rsidR="001556BA" w:rsidRPr="001556BA">
        <w:rPr>
          <w:rFonts w:ascii="Times New Roman" w:hAnsi="Times New Roman" w:cs="Times New Roman"/>
          <w:sz w:val="28"/>
          <w:szCs w:val="28"/>
        </w:rPr>
        <w:t>ыполнение работ по SMM-продвижению в социальных сетях, созданию фото и видеоматериалов</w:t>
      </w:r>
      <w:r w:rsidR="00356D8C" w:rsidRPr="00356D8C">
        <w:rPr>
          <w:rFonts w:ascii="Times New Roman" w:hAnsi="Times New Roman" w:cs="Times New Roman"/>
          <w:sz w:val="28"/>
          <w:szCs w:val="28"/>
        </w:rPr>
        <w:t xml:space="preserve"> </w:t>
      </w:r>
      <w:r w:rsidR="00356D8C">
        <w:rPr>
          <w:rFonts w:ascii="Times New Roman" w:hAnsi="Times New Roman" w:cs="Times New Roman"/>
          <w:sz w:val="28"/>
          <w:szCs w:val="28"/>
        </w:rPr>
        <w:t>для нужд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6989E16"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127125">
        <w:rPr>
          <w:rFonts w:ascii="Times New Roman" w:hAnsi="Times New Roman" w:cs="Times New Roman"/>
          <w:sz w:val="28"/>
          <w:szCs w:val="28"/>
        </w:rPr>
        <w:t>2</w:t>
      </w:r>
      <w:r w:rsidR="00FD3EBD">
        <w:rPr>
          <w:rFonts w:ascii="Times New Roman" w:hAnsi="Times New Roman" w:cs="Times New Roman"/>
          <w:sz w:val="28"/>
          <w:szCs w:val="28"/>
        </w:rPr>
        <w:t>2</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CA7D0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1FBD962D"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27125">
        <w:rPr>
          <w:rFonts w:ascii="Times New Roman" w:hAnsi="Times New Roman" w:cs="Times New Roman"/>
          <w:b/>
          <w:sz w:val="28"/>
          <w:szCs w:val="28"/>
        </w:rPr>
        <w:t>2</w:t>
      </w:r>
      <w:r w:rsidR="00FD3EBD">
        <w:rPr>
          <w:rFonts w:ascii="Times New Roman" w:hAnsi="Times New Roman" w:cs="Times New Roman"/>
          <w:b/>
          <w:sz w:val="28"/>
          <w:szCs w:val="28"/>
        </w:rPr>
        <w:t>2</w:t>
      </w:r>
      <w:r w:rsidR="00FC64D8" w:rsidRPr="00FC64D8">
        <w:rPr>
          <w:rFonts w:ascii="Times New Roman" w:hAnsi="Times New Roman" w:cs="Times New Roman"/>
          <w:b/>
          <w:sz w:val="28"/>
          <w:szCs w:val="28"/>
        </w:rPr>
        <w:t>.1</w:t>
      </w:r>
      <w:r w:rsidR="00CA7D0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4D7964C"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1556BA">
        <w:rPr>
          <w:rFonts w:ascii="Times New Roman" w:hAnsi="Times New Roman" w:cs="Times New Roman"/>
          <w:sz w:val="28"/>
          <w:szCs w:val="28"/>
        </w:rPr>
        <w:t>266 302</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1556BA">
        <w:rPr>
          <w:rFonts w:ascii="Times New Roman" w:hAnsi="Times New Roman" w:cs="Times New Roman"/>
          <w:sz w:val="28"/>
          <w:szCs w:val="28"/>
        </w:rPr>
        <w:t>33</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D740A18"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w:t>
      </w:r>
      <w:r w:rsidRPr="00B44415">
        <w:rPr>
          <w:rFonts w:ascii="Times New Roman" w:hAnsi="Times New Roman" w:cs="Times New Roman"/>
          <w:sz w:val="28"/>
          <w:szCs w:val="28"/>
        </w:rPr>
        <w:lastRenderedPageBreak/>
        <w:t xml:space="preserve">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FD3EBD">
        <w:rPr>
          <w:rFonts w:ascii="Times New Roman" w:hAnsi="Times New Roman" w:cs="Times New Roman"/>
          <w:sz w:val="28"/>
          <w:szCs w:val="28"/>
        </w:rPr>
        <w:t>16</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5D117227" w14:textId="77777777" w:rsidR="00074471" w:rsidRPr="00B44415" w:rsidRDefault="00A81252" w:rsidP="00074471">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№2 – </w:t>
      </w:r>
      <w:r w:rsidR="00074471" w:rsidRPr="00B44415">
        <w:rPr>
          <w:rFonts w:ascii="Times New Roman" w:hAnsi="Times New Roman" w:cs="Times New Roman"/>
          <w:sz w:val="28"/>
          <w:szCs w:val="28"/>
        </w:rPr>
        <w:t>Проект договора</w:t>
      </w:r>
      <w:r w:rsidR="00074471">
        <w:rPr>
          <w:rFonts w:ascii="Times New Roman" w:hAnsi="Times New Roman" w:cs="Times New Roman"/>
          <w:sz w:val="28"/>
          <w:szCs w:val="28"/>
        </w:rPr>
        <w:t xml:space="preserve"> с о</w:t>
      </w:r>
      <w:r w:rsidR="00074471" w:rsidRPr="00B44415">
        <w:rPr>
          <w:rFonts w:ascii="Times New Roman" w:hAnsi="Times New Roman" w:cs="Times New Roman"/>
          <w:sz w:val="28"/>
          <w:szCs w:val="28"/>
        </w:rPr>
        <w:t>писание</w:t>
      </w:r>
      <w:r w:rsidR="00074471">
        <w:rPr>
          <w:rFonts w:ascii="Times New Roman" w:hAnsi="Times New Roman" w:cs="Times New Roman"/>
          <w:sz w:val="28"/>
          <w:szCs w:val="28"/>
        </w:rPr>
        <w:t>м</w:t>
      </w:r>
      <w:r w:rsidR="00074471" w:rsidRPr="00B44415">
        <w:rPr>
          <w:rFonts w:ascii="Times New Roman" w:hAnsi="Times New Roman" w:cs="Times New Roman"/>
          <w:sz w:val="28"/>
          <w:szCs w:val="28"/>
        </w:rPr>
        <w:t xml:space="preserve"> объекта закупки</w:t>
      </w:r>
      <w:r w:rsidR="00074471">
        <w:rPr>
          <w:rFonts w:ascii="Times New Roman" w:hAnsi="Times New Roman" w:cs="Times New Roman"/>
          <w:sz w:val="28"/>
          <w:szCs w:val="28"/>
        </w:rPr>
        <w:t xml:space="preserve"> (</w:t>
      </w:r>
      <w:r w:rsidR="00074471" w:rsidRPr="00B44415">
        <w:rPr>
          <w:rFonts w:ascii="Times New Roman" w:hAnsi="Times New Roman" w:cs="Times New Roman"/>
          <w:sz w:val="28"/>
          <w:szCs w:val="28"/>
        </w:rPr>
        <w:t>техническ</w:t>
      </w:r>
      <w:r w:rsidR="00074471">
        <w:rPr>
          <w:rFonts w:ascii="Times New Roman" w:hAnsi="Times New Roman" w:cs="Times New Roman"/>
          <w:sz w:val="28"/>
          <w:szCs w:val="28"/>
        </w:rPr>
        <w:t>им</w:t>
      </w:r>
      <w:r w:rsidR="00074471" w:rsidRPr="00B44415">
        <w:rPr>
          <w:rFonts w:ascii="Times New Roman" w:hAnsi="Times New Roman" w:cs="Times New Roman"/>
          <w:sz w:val="28"/>
          <w:szCs w:val="28"/>
        </w:rPr>
        <w:t xml:space="preserve"> задание</w:t>
      </w:r>
      <w:r w:rsidR="00074471">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439BA"/>
    <w:rsid w:val="00074471"/>
    <w:rsid w:val="000B2D53"/>
    <w:rsid w:val="00122266"/>
    <w:rsid w:val="00124710"/>
    <w:rsid w:val="00127125"/>
    <w:rsid w:val="00137165"/>
    <w:rsid w:val="00137B4F"/>
    <w:rsid w:val="001453D9"/>
    <w:rsid w:val="001556BA"/>
    <w:rsid w:val="001736C7"/>
    <w:rsid w:val="00180434"/>
    <w:rsid w:val="001A3670"/>
    <w:rsid w:val="001A41F6"/>
    <w:rsid w:val="001B0234"/>
    <w:rsid w:val="001B401F"/>
    <w:rsid w:val="001D48E4"/>
    <w:rsid w:val="001E4801"/>
    <w:rsid w:val="002114C9"/>
    <w:rsid w:val="00221A0A"/>
    <w:rsid w:val="00224000"/>
    <w:rsid w:val="002572D9"/>
    <w:rsid w:val="00262FEA"/>
    <w:rsid w:val="00286710"/>
    <w:rsid w:val="002A2DE1"/>
    <w:rsid w:val="002D079D"/>
    <w:rsid w:val="00327190"/>
    <w:rsid w:val="0033195D"/>
    <w:rsid w:val="003340BA"/>
    <w:rsid w:val="00353F05"/>
    <w:rsid w:val="00356D8C"/>
    <w:rsid w:val="00364448"/>
    <w:rsid w:val="003852DF"/>
    <w:rsid w:val="003A2CD1"/>
    <w:rsid w:val="003B5BD7"/>
    <w:rsid w:val="003C0309"/>
    <w:rsid w:val="003D391D"/>
    <w:rsid w:val="003E6B7A"/>
    <w:rsid w:val="003F1EE3"/>
    <w:rsid w:val="003F2546"/>
    <w:rsid w:val="004023C5"/>
    <w:rsid w:val="0044035F"/>
    <w:rsid w:val="00445262"/>
    <w:rsid w:val="004472E6"/>
    <w:rsid w:val="00460F33"/>
    <w:rsid w:val="00475313"/>
    <w:rsid w:val="00486916"/>
    <w:rsid w:val="004B2311"/>
    <w:rsid w:val="004B7DC7"/>
    <w:rsid w:val="004C1A79"/>
    <w:rsid w:val="0050283E"/>
    <w:rsid w:val="0050299D"/>
    <w:rsid w:val="00525E5F"/>
    <w:rsid w:val="00574508"/>
    <w:rsid w:val="005C18A6"/>
    <w:rsid w:val="005C6DFD"/>
    <w:rsid w:val="005D5F03"/>
    <w:rsid w:val="005E16D1"/>
    <w:rsid w:val="005E4AF8"/>
    <w:rsid w:val="005F2E2C"/>
    <w:rsid w:val="005F79FB"/>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E0C23"/>
    <w:rsid w:val="007F532D"/>
    <w:rsid w:val="007F6479"/>
    <w:rsid w:val="00817FBD"/>
    <w:rsid w:val="00843DAE"/>
    <w:rsid w:val="008530F5"/>
    <w:rsid w:val="00860A67"/>
    <w:rsid w:val="00867A8A"/>
    <w:rsid w:val="00876F22"/>
    <w:rsid w:val="008814C1"/>
    <w:rsid w:val="00884A09"/>
    <w:rsid w:val="00895AD3"/>
    <w:rsid w:val="008B280B"/>
    <w:rsid w:val="008B72ED"/>
    <w:rsid w:val="008E2851"/>
    <w:rsid w:val="008F5F3B"/>
    <w:rsid w:val="00934E72"/>
    <w:rsid w:val="00937DA0"/>
    <w:rsid w:val="00947DCA"/>
    <w:rsid w:val="00953566"/>
    <w:rsid w:val="009540DA"/>
    <w:rsid w:val="00992D69"/>
    <w:rsid w:val="009C1921"/>
    <w:rsid w:val="00A07B27"/>
    <w:rsid w:val="00A41C6E"/>
    <w:rsid w:val="00A631B2"/>
    <w:rsid w:val="00A81252"/>
    <w:rsid w:val="00A84FD5"/>
    <w:rsid w:val="00A95BE6"/>
    <w:rsid w:val="00AB0F7E"/>
    <w:rsid w:val="00B20896"/>
    <w:rsid w:val="00B44415"/>
    <w:rsid w:val="00B669E8"/>
    <w:rsid w:val="00B670DF"/>
    <w:rsid w:val="00B8662D"/>
    <w:rsid w:val="00BC5B21"/>
    <w:rsid w:val="00BE300F"/>
    <w:rsid w:val="00C05458"/>
    <w:rsid w:val="00C2693E"/>
    <w:rsid w:val="00C43282"/>
    <w:rsid w:val="00C520D9"/>
    <w:rsid w:val="00C54CC6"/>
    <w:rsid w:val="00C563EA"/>
    <w:rsid w:val="00C94B72"/>
    <w:rsid w:val="00CA5665"/>
    <w:rsid w:val="00CA7D0C"/>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60FDC"/>
    <w:rsid w:val="00F73DC0"/>
    <w:rsid w:val="00F757EB"/>
    <w:rsid w:val="00F768D0"/>
    <w:rsid w:val="00F84FA6"/>
    <w:rsid w:val="00FA6479"/>
    <w:rsid w:val="00FB710E"/>
    <w:rsid w:val="00FC4DB8"/>
    <w:rsid w:val="00FC64D8"/>
    <w:rsid w:val="00FD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17</Pages>
  <Words>5502</Words>
  <Characters>31367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41</cp:revision>
  <cp:lastPrinted>2021-11-16T12:11:00Z</cp:lastPrinted>
  <dcterms:created xsi:type="dcterms:W3CDTF">2022-11-09T13:17:00Z</dcterms:created>
  <dcterms:modified xsi:type="dcterms:W3CDTF">2023-12-15T09:22:00Z</dcterms:modified>
</cp:coreProperties>
</file>