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32FD3B48"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20287787"/>
      <w:bookmarkStart w:id="1" w:name="_Hlk105409919"/>
      <w:r w:rsidR="002F2B0F" w:rsidRPr="002F2B0F">
        <w:rPr>
          <w:rFonts w:ascii="Times New Roman" w:eastAsia="Times New Roman" w:hAnsi="Times New Roman" w:cs="Times New Roman"/>
          <w:b/>
          <w:color w:val="00000A"/>
          <w:sz w:val="28"/>
          <w:szCs w:val="28"/>
        </w:rPr>
        <w:t xml:space="preserve">на </w:t>
      </w:r>
      <w:bookmarkEnd w:id="0"/>
      <w:r w:rsidR="00AD0DC1">
        <w:rPr>
          <w:rFonts w:ascii="Times New Roman" w:eastAsia="Times New Roman" w:hAnsi="Times New Roman" w:cs="Times New Roman"/>
          <w:b/>
          <w:color w:val="00000A"/>
          <w:sz w:val="28"/>
          <w:szCs w:val="28"/>
        </w:rPr>
        <w:t>п</w:t>
      </w:r>
      <w:r w:rsidR="00AD0DC1" w:rsidRPr="00AD0DC1">
        <w:rPr>
          <w:rFonts w:ascii="Times New Roman" w:eastAsia="Times New Roman" w:hAnsi="Times New Roman" w:cs="Times New Roman"/>
          <w:b/>
          <w:color w:val="00000A"/>
          <w:sz w:val="28"/>
          <w:szCs w:val="28"/>
        </w:rPr>
        <w:t>роизводство сувенирной продукции</w:t>
      </w:r>
      <w:r w:rsidR="008005A5" w:rsidRPr="008005A5">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F84FA6">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4EAC228E"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AD0DC1" w:rsidRPr="00AD0DC1">
        <w:rPr>
          <w:rFonts w:ascii="Times New Roman" w:eastAsia="Times New Roman" w:hAnsi="Times New Roman" w:cs="Times New Roman"/>
          <w:color w:val="00000A"/>
          <w:sz w:val="28"/>
          <w:szCs w:val="28"/>
        </w:rPr>
        <w:t>Производство сувенирной продукции</w:t>
      </w:r>
      <w:r w:rsidR="008005A5">
        <w:rPr>
          <w:rFonts w:ascii="Times New Roman" w:eastAsia="Times New Roman" w:hAnsi="Times New Roman" w:cs="Times New Roman"/>
          <w:color w:val="00000A"/>
          <w:sz w:val="28"/>
          <w:szCs w:val="28"/>
        </w:rPr>
        <w:t>.</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43043459"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AD0DC1">
        <w:rPr>
          <w:rFonts w:ascii="Times New Roman" w:hAnsi="Times New Roman" w:cs="Times New Roman"/>
          <w:sz w:val="28"/>
          <w:szCs w:val="28"/>
        </w:rPr>
        <w:t>15 225 500,00</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334A5725"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F77253">
        <w:rPr>
          <w:rFonts w:ascii="Times New Roman" w:hAnsi="Times New Roman" w:cs="Times New Roman"/>
          <w:sz w:val="28"/>
          <w:szCs w:val="28"/>
        </w:rPr>
        <w:t>2</w:t>
      </w:r>
      <w:r w:rsidR="00000634">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8005A5">
        <w:rPr>
          <w:rFonts w:ascii="Times New Roman" w:hAnsi="Times New Roman" w:cs="Times New Roman"/>
          <w:sz w:val="28"/>
          <w:szCs w:val="28"/>
        </w:rPr>
        <w:t>1</w:t>
      </w:r>
      <w:r w:rsidR="00AD0DC1">
        <w:rPr>
          <w:rFonts w:ascii="Times New Roman" w:hAnsi="Times New Roman" w:cs="Times New Roman"/>
          <w:sz w:val="28"/>
          <w:szCs w:val="28"/>
        </w:rPr>
        <w:t>5</w:t>
      </w:r>
      <w:r w:rsidR="00A631B2" w:rsidRPr="00574508">
        <w:rPr>
          <w:rFonts w:ascii="Times New Roman" w:hAnsi="Times New Roman" w:cs="Times New Roman"/>
          <w:sz w:val="28"/>
          <w:szCs w:val="28"/>
        </w:rPr>
        <w:t>.</w:t>
      </w:r>
      <w:r w:rsidR="00000634">
        <w:rPr>
          <w:rFonts w:ascii="Times New Roman" w:hAnsi="Times New Roman" w:cs="Times New Roman"/>
          <w:sz w:val="28"/>
          <w:szCs w:val="28"/>
        </w:rPr>
        <w:t>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320D864F"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043CC5">
        <w:rPr>
          <w:rFonts w:ascii="Times New Roman" w:hAnsi="Times New Roman" w:cs="Times New Roman"/>
          <w:sz w:val="28"/>
          <w:szCs w:val="28"/>
        </w:rPr>
        <w:t>1</w:t>
      </w:r>
      <w:r w:rsidR="00000634">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F77253">
        <w:rPr>
          <w:rFonts w:ascii="Times New Roman" w:hAnsi="Times New Roman" w:cs="Times New Roman"/>
          <w:sz w:val="28"/>
          <w:szCs w:val="28"/>
        </w:rPr>
        <w:t>2</w:t>
      </w:r>
      <w:r w:rsidR="00000634">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 xml:space="preserve">дни с </w:t>
      </w:r>
      <w:r w:rsidR="00D06525">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29596D">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5D75807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043CC5">
        <w:rPr>
          <w:rFonts w:ascii="Times New Roman" w:hAnsi="Times New Roman" w:cs="Times New Roman"/>
          <w:sz w:val="28"/>
          <w:szCs w:val="28"/>
        </w:rPr>
        <w:t>1</w:t>
      </w:r>
      <w:r w:rsidR="00000634">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3CA85877" w:rsidR="006D4ED9" w:rsidRPr="00B44415" w:rsidRDefault="00F77253"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000634">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8005A5">
        <w:rPr>
          <w:rFonts w:ascii="Times New Roman" w:hAnsi="Times New Roman" w:cs="Times New Roman"/>
          <w:sz w:val="28"/>
          <w:szCs w:val="28"/>
        </w:rPr>
        <w:t>1</w:t>
      </w:r>
      <w:r w:rsidR="00AD0DC1">
        <w:rPr>
          <w:rFonts w:ascii="Times New Roman" w:hAnsi="Times New Roman" w:cs="Times New Roman"/>
          <w:sz w:val="28"/>
          <w:szCs w:val="28"/>
        </w:rPr>
        <w:t>5</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 xml:space="preserve">ч. </w:t>
      </w:r>
      <w:r w:rsidR="00000634">
        <w:rPr>
          <w:rFonts w:ascii="Times New Roman" w:hAnsi="Times New Roman" w:cs="Times New Roman"/>
          <w:sz w:val="28"/>
          <w:szCs w:val="28"/>
        </w:rPr>
        <w:t>0</w:t>
      </w:r>
      <w:r w:rsidR="006D4ED9" w:rsidRPr="00574508">
        <w:rPr>
          <w:rFonts w:ascii="Times New Roman" w:hAnsi="Times New Roman" w:cs="Times New Roman"/>
          <w:sz w:val="28"/>
          <w:szCs w:val="28"/>
        </w:rPr>
        <w:t>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2A03BEB7"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043CC5">
        <w:rPr>
          <w:rFonts w:ascii="Times New Roman" w:hAnsi="Times New Roman" w:cs="Times New Roman"/>
          <w:sz w:val="28"/>
          <w:szCs w:val="28"/>
        </w:rPr>
        <w:t>1</w:t>
      </w:r>
      <w:r w:rsidR="00000634">
        <w:rPr>
          <w:rFonts w:ascii="Times New Roman" w:hAnsi="Times New Roman" w:cs="Times New Roman"/>
          <w:sz w:val="28"/>
          <w:szCs w:val="28"/>
        </w:rPr>
        <w:t>9</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16A460A2" w14:textId="69E69F38"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000634">
        <w:rPr>
          <w:rFonts w:ascii="Times New Roman" w:hAnsi="Times New Roman" w:cs="Times New Roman"/>
          <w:sz w:val="28"/>
          <w:szCs w:val="28"/>
        </w:rPr>
        <w:t>23</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3F050389"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w:t>
      </w:r>
      <w:r w:rsidR="009D387B">
        <w:rPr>
          <w:rFonts w:ascii="Times New Roman" w:hAnsi="Times New Roman" w:cs="Times New Roman"/>
          <w:sz w:val="28"/>
          <w:szCs w:val="28"/>
        </w:rPr>
        <w:t xml:space="preserve"> </w:t>
      </w:r>
      <w:r w:rsidR="006D4ED9" w:rsidRPr="00B44415">
        <w:rPr>
          <w:rFonts w:ascii="Times New Roman" w:hAnsi="Times New Roman" w:cs="Times New Roman"/>
          <w:sz w:val="28"/>
          <w:szCs w:val="28"/>
        </w:rPr>
        <w:t>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14134FE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8005A5">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которые получены не ранее чем за трех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497D773F"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AD0DC1">
        <w:rPr>
          <w:rFonts w:ascii="Times New Roman" w:hAnsi="Times New Roman" w:cs="Times New Roman"/>
          <w:sz w:val="28"/>
          <w:szCs w:val="28"/>
        </w:rPr>
        <w:t>п</w:t>
      </w:r>
      <w:r w:rsidR="00AD0DC1" w:rsidRPr="00AD0DC1">
        <w:rPr>
          <w:rFonts w:ascii="Times New Roman" w:hAnsi="Times New Roman" w:cs="Times New Roman"/>
          <w:sz w:val="28"/>
          <w:szCs w:val="28"/>
        </w:rPr>
        <w:t>роизводство сувенирной продукции</w:t>
      </w:r>
      <w:r w:rsidR="0029596D" w:rsidRPr="0029596D">
        <w:rPr>
          <w:rFonts w:ascii="Times New Roman" w:hAnsi="Times New Roman" w:cs="Times New Roman"/>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2507A7A4"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F77253">
        <w:rPr>
          <w:rFonts w:ascii="Times New Roman" w:hAnsi="Times New Roman" w:cs="Times New Roman"/>
          <w:sz w:val="28"/>
          <w:szCs w:val="28"/>
        </w:rPr>
        <w:t>2</w:t>
      </w:r>
      <w:r w:rsidR="00000634">
        <w:rPr>
          <w:rFonts w:ascii="Times New Roman" w:hAnsi="Times New Roman" w:cs="Times New Roman"/>
          <w:sz w:val="28"/>
          <w:szCs w:val="28"/>
        </w:rPr>
        <w:t>3</w:t>
      </w:r>
      <w:r w:rsidR="00BE300F">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31BA0ED"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3360AB">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33550456"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3360AB">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57E5D5E7"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F77253">
        <w:rPr>
          <w:rFonts w:ascii="Times New Roman" w:hAnsi="Times New Roman" w:cs="Times New Roman"/>
          <w:b/>
          <w:sz w:val="28"/>
          <w:szCs w:val="28"/>
        </w:rPr>
        <w:t>2</w:t>
      </w:r>
      <w:r w:rsidR="00000634">
        <w:rPr>
          <w:rFonts w:ascii="Times New Roman" w:hAnsi="Times New Roman" w:cs="Times New Roman"/>
          <w:b/>
          <w:sz w:val="28"/>
          <w:szCs w:val="28"/>
        </w:rPr>
        <w:t>3</w:t>
      </w:r>
      <w:r w:rsidR="00BE300F">
        <w:rPr>
          <w:rFonts w:ascii="Times New Roman" w:hAnsi="Times New Roman" w:cs="Times New Roman"/>
          <w:b/>
          <w:sz w:val="28"/>
          <w:szCs w:val="28"/>
        </w:rPr>
        <w:t>.</w:t>
      </w:r>
      <w:r w:rsidR="00002333">
        <w:rPr>
          <w:rFonts w:ascii="Times New Roman" w:hAnsi="Times New Roman" w:cs="Times New Roman"/>
          <w:b/>
          <w:sz w:val="28"/>
          <w:szCs w:val="28"/>
        </w:rPr>
        <w:t>1</w:t>
      </w:r>
      <w:r w:rsidR="002F2B0F">
        <w:rPr>
          <w:rFonts w:ascii="Times New Roman" w:hAnsi="Times New Roman" w:cs="Times New Roman"/>
          <w:b/>
          <w:sz w:val="28"/>
          <w:szCs w:val="28"/>
        </w:rPr>
        <w:t>2</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1B401F">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5B9E9372"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AD0DC1">
        <w:rPr>
          <w:rFonts w:ascii="Times New Roman" w:hAnsi="Times New Roman" w:cs="Times New Roman"/>
          <w:sz w:val="28"/>
          <w:szCs w:val="28"/>
        </w:rPr>
        <w:t>152 255,00</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1789B57E"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043CC5">
        <w:rPr>
          <w:rFonts w:ascii="Times New Roman" w:hAnsi="Times New Roman" w:cs="Times New Roman"/>
          <w:sz w:val="28"/>
          <w:szCs w:val="28"/>
        </w:rPr>
        <w:t>4</w:t>
      </w:r>
      <w:r w:rsidR="00AD0DC1">
        <w:rPr>
          <w:rFonts w:ascii="Times New Roman" w:hAnsi="Times New Roman" w:cs="Times New Roman"/>
          <w:sz w:val="28"/>
          <w:szCs w:val="28"/>
        </w:rPr>
        <w:t>8</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24B370FE"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w:t>
      </w:r>
      <w:r w:rsidR="00B038BC">
        <w:rPr>
          <w:rFonts w:ascii="Times New Roman" w:eastAsia="Times New Roman" w:hAnsi="Times New Roman" w:cs="Times New Roman"/>
          <w:bCs/>
          <w:iCs/>
          <w:sz w:val="28"/>
          <w:szCs w:val="28"/>
          <w:lang w:eastAsia="ru-RU"/>
        </w:rPr>
        <w:t>10</w:t>
      </w:r>
      <w:r w:rsidRPr="0044035F">
        <w:rPr>
          <w:rFonts w:ascii="Times New Roman" w:eastAsia="Times New Roman" w:hAnsi="Times New Roman" w:cs="Times New Roman"/>
          <w:bCs/>
          <w:iCs/>
          <w:sz w:val="28"/>
          <w:szCs w:val="28"/>
          <w:lang w:eastAsia="ru-RU"/>
        </w:rPr>
        <w:t xml:space="preserve"> %</w:t>
      </w:r>
    </w:p>
    <w:p w14:paraId="588818F5" w14:textId="2914596E"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w:t>
      </w:r>
      <w:r w:rsidR="00AD0DC1">
        <w:rPr>
          <w:rFonts w:ascii="Times New Roman" w:eastAsia="Times New Roman" w:hAnsi="Times New Roman" w:cs="Times New Roman"/>
          <w:bCs/>
          <w:iCs/>
          <w:sz w:val="28"/>
          <w:szCs w:val="28"/>
          <w:lang w:eastAsia="ru-RU"/>
        </w:rPr>
        <w:t>1 522 550,00</w:t>
      </w:r>
      <w:r w:rsidRPr="0044035F">
        <w:rPr>
          <w:rFonts w:ascii="Times New Roman" w:eastAsia="Times New Roman" w:hAnsi="Times New Roman" w:cs="Times New Roman"/>
          <w:bCs/>
          <w:iCs/>
          <w:sz w:val="28"/>
          <w:szCs w:val="28"/>
          <w:lang w:eastAsia="ru-RU"/>
        </w:rPr>
        <w:t xml:space="preserve"> руб. </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0634"/>
    <w:rsid w:val="00002333"/>
    <w:rsid w:val="000120E5"/>
    <w:rsid w:val="00035578"/>
    <w:rsid w:val="00043CC5"/>
    <w:rsid w:val="00124710"/>
    <w:rsid w:val="00137165"/>
    <w:rsid w:val="00137B4F"/>
    <w:rsid w:val="001453D9"/>
    <w:rsid w:val="00180434"/>
    <w:rsid w:val="001A3670"/>
    <w:rsid w:val="001A41F6"/>
    <w:rsid w:val="001B401F"/>
    <w:rsid w:val="001D48E4"/>
    <w:rsid w:val="00221A0A"/>
    <w:rsid w:val="00224000"/>
    <w:rsid w:val="002572D9"/>
    <w:rsid w:val="00262FEA"/>
    <w:rsid w:val="00286710"/>
    <w:rsid w:val="0029596D"/>
    <w:rsid w:val="002D079D"/>
    <w:rsid w:val="002F2B0F"/>
    <w:rsid w:val="00327190"/>
    <w:rsid w:val="0033195D"/>
    <w:rsid w:val="003360AB"/>
    <w:rsid w:val="00364448"/>
    <w:rsid w:val="003A2CD1"/>
    <w:rsid w:val="003B5BD7"/>
    <w:rsid w:val="003D391D"/>
    <w:rsid w:val="003F1EE3"/>
    <w:rsid w:val="003F2546"/>
    <w:rsid w:val="00417F03"/>
    <w:rsid w:val="0044035F"/>
    <w:rsid w:val="00445262"/>
    <w:rsid w:val="004472E6"/>
    <w:rsid w:val="00475313"/>
    <w:rsid w:val="00497909"/>
    <w:rsid w:val="004B2311"/>
    <w:rsid w:val="004C1A79"/>
    <w:rsid w:val="0050283E"/>
    <w:rsid w:val="0050299D"/>
    <w:rsid w:val="00525E5F"/>
    <w:rsid w:val="0057450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005A5"/>
    <w:rsid w:val="008530F5"/>
    <w:rsid w:val="00867A8A"/>
    <w:rsid w:val="00876F22"/>
    <w:rsid w:val="008814C1"/>
    <w:rsid w:val="00884A09"/>
    <w:rsid w:val="00895AD3"/>
    <w:rsid w:val="008E2851"/>
    <w:rsid w:val="008F5F3B"/>
    <w:rsid w:val="00934E72"/>
    <w:rsid w:val="00937DA0"/>
    <w:rsid w:val="00947DCA"/>
    <w:rsid w:val="00953566"/>
    <w:rsid w:val="00992D69"/>
    <w:rsid w:val="009A5147"/>
    <w:rsid w:val="009D387B"/>
    <w:rsid w:val="00A41C6E"/>
    <w:rsid w:val="00A631B2"/>
    <w:rsid w:val="00A81252"/>
    <w:rsid w:val="00A84FD5"/>
    <w:rsid w:val="00AB0F7E"/>
    <w:rsid w:val="00AD0DC1"/>
    <w:rsid w:val="00B038BC"/>
    <w:rsid w:val="00B20896"/>
    <w:rsid w:val="00B44415"/>
    <w:rsid w:val="00B669E8"/>
    <w:rsid w:val="00B670DF"/>
    <w:rsid w:val="00BC5B21"/>
    <w:rsid w:val="00BE300F"/>
    <w:rsid w:val="00C05458"/>
    <w:rsid w:val="00C43282"/>
    <w:rsid w:val="00C54CC6"/>
    <w:rsid w:val="00C563EA"/>
    <w:rsid w:val="00C94B72"/>
    <w:rsid w:val="00CA5665"/>
    <w:rsid w:val="00CB3F27"/>
    <w:rsid w:val="00CD7A4E"/>
    <w:rsid w:val="00CE2191"/>
    <w:rsid w:val="00D0013A"/>
    <w:rsid w:val="00D06525"/>
    <w:rsid w:val="00D20E51"/>
    <w:rsid w:val="00D30C97"/>
    <w:rsid w:val="00D67B0B"/>
    <w:rsid w:val="00D7373C"/>
    <w:rsid w:val="00E103CB"/>
    <w:rsid w:val="00E22430"/>
    <w:rsid w:val="00E316A9"/>
    <w:rsid w:val="00E651CA"/>
    <w:rsid w:val="00E914B9"/>
    <w:rsid w:val="00F0149A"/>
    <w:rsid w:val="00F37AE1"/>
    <w:rsid w:val="00F73DC0"/>
    <w:rsid w:val="00F757EB"/>
    <w:rsid w:val="00F77253"/>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5487</Words>
  <Characters>31279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2</cp:revision>
  <cp:lastPrinted>2021-11-16T12:11:00Z</cp:lastPrinted>
  <dcterms:created xsi:type="dcterms:W3CDTF">2022-12-16T12:40:00Z</dcterms:created>
  <dcterms:modified xsi:type="dcterms:W3CDTF">2022-12-16T12:40:00Z</dcterms:modified>
</cp:coreProperties>
</file>