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513F1927" w:rsidR="006A03F9" w:rsidRPr="006A03F9" w:rsidRDefault="00294351" w:rsidP="00B959F8">
      <w:pPr>
        <w:keepNext/>
        <w:keepLines/>
        <w:widowControl w:val="0"/>
        <w:jc w:val="center"/>
        <w:rPr>
          <w:bCs/>
        </w:rPr>
      </w:pPr>
      <w:r w:rsidRPr="00294351">
        <w:rPr>
          <w:bCs/>
        </w:rPr>
        <w:t xml:space="preserve">на </w:t>
      </w:r>
      <w:r w:rsidR="007A26E9" w:rsidRPr="007A26E9">
        <w:rPr>
          <w:bCs/>
        </w:rPr>
        <w:t>оказание медицинских и санитарно-эпидемиологических услуг</w:t>
      </w:r>
      <w:r w:rsidR="004C62F5">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3947D546"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w:t>
      </w:r>
      <w:r w:rsidR="007A26E9" w:rsidRPr="007A26E9">
        <w:t>оказание медицинских и санитарно-эпидемиологических услуг</w:t>
      </w:r>
      <w:r w:rsidR="007A26E9">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22CFEC4C"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w:t>
      </w:r>
      <w:r w:rsidR="004C62F5" w:rsidRPr="004C62F5">
        <w:rPr>
          <w:bCs/>
          <w:szCs w:val="24"/>
        </w:rPr>
        <w:t xml:space="preserve">оказание </w:t>
      </w:r>
      <w:r w:rsidR="007A26E9" w:rsidRPr="007A26E9">
        <w:rPr>
          <w:bCs/>
          <w:szCs w:val="24"/>
        </w:rPr>
        <w:t>медицинских и санитарно-эпидемиологических услуг</w:t>
      </w:r>
      <w:r w:rsidR="007A26E9">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2CCFDD3D"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7A26E9">
        <w:t xml:space="preserve">на </w:t>
      </w:r>
      <w:r w:rsidR="007A26E9" w:rsidRPr="007A26E9">
        <w:t>оказание медицинских и санитарно-эпидемиологических услуг</w:t>
      </w:r>
      <w:r w:rsidR="004C62F5" w:rsidRPr="004C62F5">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E0E59" w14:textId="77777777" w:rsidR="00860BCF" w:rsidRDefault="00860BCF" w:rsidP="00321F4B">
      <w:r>
        <w:separator/>
      </w:r>
    </w:p>
  </w:endnote>
  <w:endnote w:type="continuationSeparator" w:id="0">
    <w:p w14:paraId="12507330" w14:textId="77777777" w:rsidR="00860BCF" w:rsidRDefault="00860BCF"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FBB54" w14:textId="77777777" w:rsidR="00860BCF" w:rsidRDefault="00860BCF" w:rsidP="00321F4B">
      <w:r>
        <w:separator/>
      </w:r>
    </w:p>
  </w:footnote>
  <w:footnote w:type="continuationSeparator" w:id="0">
    <w:p w14:paraId="4DD43906" w14:textId="77777777" w:rsidR="00860BCF" w:rsidRDefault="00860BCF"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201153"/>
    <w:rsid w:val="00205D6D"/>
    <w:rsid w:val="0023521A"/>
    <w:rsid w:val="00264872"/>
    <w:rsid w:val="00294351"/>
    <w:rsid w:val="002D0F92"/>
    <w:rsid w:val="002E1DCA"/>
    <w:rsid w:val="002F3EBD"/>
    <w:rsid w:val="00303F77"/>
    <w:rsid w:val="00321F4B"/>
    <w:rsid w:val="003226AE"/>
    <w:rsid w:val="00385E36"/>
    <w:rsid w:val="003922D3"/>
    <w:rsid w:val="003C52CF"/>
    <w:rsid w:val="00422AB4"/>
    <w:rsid w:val="00435A36"/>
    <w:rsid w:val="004C62F5"/>
    <w:rsid w:val="004F3A7D"/>
    <w:rsid w:val="00503845"/>
    <w:rsid w:val="00525311"/>
    <w:rsid w:val="00535506"/>
    <w:rsid w:val="00605939"/>
    <w:rsid w:val="006219A1"/>
    <w:rsid w:val="00630AD3"/>
    <w:rsid w:val="0063526D"/>
    <w:rsid w:val="006652F0"/>
    <w:rsid w:val="00692D32"/>
    <w:rsid w:val="006A03F9"/>
    <w:rsid w:val="0070106F"/>
    <w:rsid w:val="00736CB7"/>
    <w:rsid w:val="00746E45"/>
    <w:rsid w:val="00776186"/>
    <w:rsid w:val="007A26E9"/>
    <w:rsid w:val="007A4BEA"/>
    <w:rsid w:val="00815A2F"/>
    <w:rsid w:val="00860BC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2432</Words>
  <Characters>13868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11</cp:revision>
  <cp:lastPrinted>2020-07-22T08:49:00Z</cp:lastPrinted>
  <dcterms:created xsi:type="dcterms:W3CDTF">2022-11-09T11:47:00Z</dcterms:created>
  <dcterms:modified xsi:type="dcterms:W3CDTF">2022-11-25T14:33:00Z</dcterms:modified>
</cp:coreProperties>
</file>