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5719621F"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05409919"/>
      <w:r w:rsidR="00501BC4">
        <w:rPr>
          <w:rFonts w:ascii="Times New Roman" w:hAnsi="Times New Roman" w:cs="Times New Roman"/>
          <w:b/>
          <w:sz w:val="28"/>
          <w:szCs w:val="28"/>
        </w:rPr>
        <w:t xml:space="preserve">на </w:t>
      </w:r>
      <w:r w:rsidR="00501BC4">
        <w:rPr>
          <w:rFonts w:ascii="Times New Roman" w:eastAsia="Times New Roman" w:hAnsi="Times New Roman" w:cs="Times New Roman"/>
          <w:b/>
          <w:color w:val="00000A"/>
          <w:sz w:val="28"/>
          <w:szCs w:val="28"/>
        </w:rPr>
        <w:t>о</w:t>
      </w:r>
      <w:r w:rsidR="00501BC4" w:rsidRPr="00501BC4">
        <w:rPr>
          <w:rFonts w:ascii="Times New Roman" w:eastAsia="Times New Roman" w:hAnsi="Times New Roman" w:cs="Times New Roman"/>
          <w:b/>
          <w:color w:val="00000A"/>
          <w:sz w:val="28"/>
          <w:szCs w:val="28"/>
        </w:rPr>
        <w:t>казание услуг по страхованию граждан (детей) от несчастных случаев (коллективное страхование)</w:t>
      </w:r>
      <w:r w:rsidR="00035578">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0"/>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64078CF0"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501BC4" w:rsidRPr="00501BC4">
        <w:rPr>
          <w:rFonts w:ascii="Times New Roman" w:eastAsia="Times New Roman" w:hAnsi="Times New Roman" w:cs="Times New Roman"/>
          <w:bCs/>
          <w:color w:val="00000A"/>
          <w:sz w:val="28"/>
          <w:szCs w:val="28"/>
        </w:rPr>
        <w:t>Оказание услуг по страхованию граждан (детей) от несчастных случаев (коллективное страхование)</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26769E3F"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A646C3">
        <w:rPr>
          <w:rFonts w:ascii="Times New Roman" w:hAnsi="Times New Roman" w:cs="Times New Roman"/>
          <w:sz w:val="28"/>
          <w:szCs w:val="28"/>
        </w:rPr>
        <w:t>8 750 700</w:t>
      </w:r>
      <w:r w:rsidR="00501BC4">
        <w:rPr>
          <w:rFonts w:ascii="Times New Roman" w:hAnsi="Times New Roman" w:cs="Times New Roman"/>
          <w:sz w:val="28"/>
          <w:szCs w:val="28"/>
        </w:rPr>
        <w:t>,00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475ECDBB"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501BC4">
        <w:rPr>
          <w:rFonts w:ascii="Times New Roman" w:hAnsi="Times New Roman" w:cs="Times New Roman"/>
          <w:sz w:val="28"/>
          <w:szCs w:val="28"/>
        </w:rPr>
        <w:t>2</w:t>
      </w:r>
      <w:r w:rsidR="00C15F18">
        <w:rPr>
          <w:rFonts w:ascii="Times New Roman" w:hAnsi="Times New Roman" w:cs="Times New Roman"/>
          <w:sz w:val="28"/>
          <w:szCs w:val="28"/>
        </w:rPr>
        <w:t>8</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7373C">
        <w:rPr>
          <w:rFonts w:ascii="Times New Roman" w:hAnsi="Times New Roman" w:cs="Times New Roman"/>
          <w:sz w:val="28"/>
          <w:szCs w:val="28"/>
        </w:rPr>
        <w:t>1</w:t>
      </w:r>
      <w:r w:rsidR="00501BC4">
        <w:rPr>
          <w:rFonts w:ascii="Times New Roman" w:hAnsi="Times New Roman" w:cs="Times New Roman"/>
          <w:sz w:val="28"/>
          <w:szCs w:val="28"/>
        </w:rPr>
        <w:t>1</w:t>
      </w:r>
      <w:r w:rsidR="00A631B2" w:rsidRPr="00574508">
        <w:rPr>
          <w:rFonts w:ascii="Times New Roman" w:hAnsi="Times New Roman" w:cs="Times New Roman"/>
          <w:sz w:val="28"/>
          <w:szCs w:val="28"/>
        </w:rPr>
        <w:t>.</w:t>
      </w:r>
      <w:r w:rsidRPr="00574508">
        <w:rPr>
          <w:rFonts w:ascii="Times New Roman" w:hAnsi="Times New Roman" w:cs="Times New Roman"/>
          <w:sz w:val="28"/>
          <w:szCs w:val="28"/>
        </w:rPr>
        <w:t>00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755CCD91"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63BFC">
        <w:rPr>
          <w:rFonts w:ascii="Times New Roman" w:hAnsi="Times New Roman" w:cs="Times New Roman"/>
          <w:sz w:val="28"/>
          <w:szCs w:val="28"/>
        </w:rPr>
        <w:t>2</w:t>
      </w:r>
      <w:r w:rsidR="00C15F18">
        <w:rPr>
          <w:rFonts w:ascii="Times New Roman" w:hAnsi="Times New Roman" w:cs="Times New Roman"/>
          <w:sz w:val="28"/>
          <w:szCs w:val="28"/>
        </w:rPr>
        <w:t>2</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501BC4">
        <w:rPr>
          <w:rFonts w:ascii="Times New Roman" w:hAnsi="Times New Roman" w:cs="Times New Roman"/>
          <w:sz w:val="28"/>
          <w:szCs w:val="28"/>
        </w:rPr>
        <w:t>2</w:t>
      </w:r>
      <w:r w:rsidR="00C15F18">
        <w:rPr>
          <w:rFonts w:ascii="Times New Roman" w:hAnsi="Times New Roman" w:cs="Times New Roman"/>
          <w:sz w:val="28"/>
          <w:szCs w:val="28"/>
        </w:rPr>
        <w:t>8</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дни с 10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3879091D"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63BFC">
        <w:rPr>
          <w:rFonts w:ascii="Times New Roman" w:hAnsi="Times New Roman" w:cs="Times New Roman"/>
          <w:sz w:val="28"/>
          <w:szCs w:val="28"/>
        </w:rPr>
        <w:t>2</w:t>
      </w:r>
      <w:r w:rsidR="00C15F18">
        <w:rPr>
          <w:rFonts w:ascii="Times New Roman" w:hAnsi="Times New Roman" w:cs="Times New Roman"/>
          <w:sz w:val="28"/>
          <w:szCs w:val="28"/>
        </w:rPr>
        <w:t>2</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649C3044" w:rsidR="006D4ED9" w:rsidRPr="00B44415" w:rsidRDefault="00501BC4"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C15F18">
        <w:rPr>
          <w:rFonts w:ascii="Times New Roman" w:hAnsi="Times New Roman" w:cs="Times New Roman"/>
          <w:sz w:val="28"/>
          <w:szCs w:val="28"/>
        </w:rPr>
        <w:t>8</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Pr>
          <w:rFonts w:ascii="Times New Roman" w:hAnsi="Times New Roman" w:cs="Times New Roman"/>
          <w:sz w:val="28"/>
          <w:szCs w:val="28"/>
        </w:rPr>
        <w:t>1</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7D024D2C"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63BFC">
        <w:rPr>
          <w:rFonts w:ascii="Times New Roman" w:hAnsi="Times New Roman" w:cs="Times New Roman"/>
          <w:sz w:val="28"/>
          <w:szCs w:val="28"/>
        </w:rPr>
        <w:t>2</w:t>
      </w:r>
      <w:r w:rsidR="00C15F18">
        <w:rPr>
          <w:rFonts w:ascii="Times New Roman" w:hAnsi="Times New Roman" w:cs="Times New Roman"/>
          <w:sz w:val="28"/>
          <w:szCs w:val="28"/>
        </w:rPr>
        <w:t>2</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16A460A2" w14:textId="2597D9B4"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156BC4">
        <w:rPr>
          <w:rFonts w:ascii="Times New Roman" w:hAnsi="Times New Roman" w:cs="Times New Roman"/>
          <w:sz w:val="28"/>
          <w:szCs w:val="28"/>
        </w:rPr>
        <w:t>2</w:t>
      </w:r>
      <w:r w:rsidR="00C15F18">
        <w:rPr>
          <w:rFonts w:ascii="Times New Roman" w:hAnsi="Times New Roman" w:cs="Times New Roman"/>
          <w:sz w:val="28"/>
          <w:szCs w:val="28"/>
        </w:rPr>
        <w:t>8</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w:t>
      </w:r>
      <w:r w:rsidRPr="00B44415">
        <w:rPr>
          <w:rFonts w:ascii="Times New Roman" w:hAnsi="Times New Roman" w:cs="Times New Roman"/>
          <w:sz w:val="28"/>
          <w:szCs w:val="28"/>
        </w:rPr>
        <w:lastRenderedPageBreak/>
        <w:t>(для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7D1DFEAA" w14:textId="63AA8684" w:rsidR="005C18A6" w:rsidRPr="00B44415" w:rsidRDefault="00C15F18"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6FC53902" w:rsidR="000120E5" w:rsidRPr="00B44415" w:rsidRDefault="00C15F18"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499E176A" w:rsidR="000120E5" w:rsidRPr="00B44415" w:rsidRDefault="00C15F18"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60B30055"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156BC4" w:rsidRPr="00156BC4">
        <w:rPr>
          <w:rFonts w:ascii="Times New Roman" w:hAnsi="Times New Roman" w:cs="Times New Roman"/>
          <w:bCs/>
          <w:sz w:val="28"/>
          <w:szCs w:val="28"/>
        </w:rPr>
        <w:t>оказание услуг по страхованию граждан (детей) от несчастных случаев (коллективное страхование)</w:t>
      </w:r>
      <w:r w:rsidR="00156BC4" w:rsidRPr="00156BC4">
        <w:rPr>
          <w:rFonts w:ascii="Times New Roman" w:hAnsi="Times New Roman" w:cs="Times New Roman"/>
          <w:b/>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67C0E9A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156BC4">
        <w:rPr>
          <w:rFonts w:ascii="Times New Roman" w:hAnsi="Times New Roman" w:cs="Times New Roman"/>
          <w:sz w:val="28"/>
          <w:szCs w:val="28"/>
        </w:rPr>
        <w:t>2</w:t>
      </w:r>
      <w:r w:rsidR="00C15F18">
        <w:rPr>
          <w:rFonts w:ascii="Times New Roman" w:hAnsi="Times New Roman" w:cs="Times New Roman"/>
          <w:sz w:val="28"/>
          <w:szCs w:val="28"/>
        </w:rPr>
        <w:t>8</w:t>
      </w:r>
      <w:r w:rsidR="00BE300F">
        <w:rPr>
          <w:rFonts w:ascii="Times New Roman" w:hAnsi="Times New Roman" w:cs="Times New Roman"/>
          <w:sz w:val="28"/>
          <w:szCs w:val="28"/>
        </w:rPr>
        <w:t>.</w:t>
      </w:r>
      <w:r w:rsidR="00002333">
        <w:rPr>
          <w:rFonts w:ascii="Times New Roman" w:hAnsi="Times New Roman" w:cs="Times New Roman"/>
          <w:sz w:val="28"/>
          <w:szCs w:val="28"/>
        </w:rPr>
        <w:t>11</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55FCA0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C15F18">
        <w:rPr>
          <w:rFonts w:ascii="Times New Roman" w:hAnsi="Times New Roman" w:cs="Times New Roman"/>
          <w:sz w:val="28"/>
          <w:szCs w:val="28"/>
        </w:rPr>
        <w:t xml:space="preserve"> </w:t>
      </w:r>
      <w:r w:rsidRPr="00B44415">
        <w:rPr>
          <w:rFonts w:ascii="Times New Roman" w:hAnsi="Times New Roman" w:cs="Times New Roman"/>
          <w:sz w:val="28"/>
          <w:szCs w:val="28"/>
        </w:rPr>
        <w:t xml:space="preserve">если указанная доверенность </w:t>
      </w:r>
      <w:r w:rsidRPr="00B44415">
        <w:rPr>
          <w:rFonts w:ascii="Times New Roman" w:hAnsi="Times New Roman" w:cs="Times New Roman"/>
          <w:sz w:val="28"/>
          <w:szCs w:val="28"/>
        </w:rPr>
        <w:lastRenderedPageBreak/>
        <w:t>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w:t>
      </w:r>
      <w:r w:rsidRPr="00B44415">
        <w:rPr>
          <w:rFonts w:ascii="Times New Roman" w:hAnsi="Times New Roman" w:cs="Times New Roman"/>
          <w:sz w:val="28"/>
          <w:szCs w:val="28"/>
        </w:rPr>
        <w:lastRenderedPageBreak/>
        <w:t>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33312810"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156BC4">
        <w:rPr>
          <w:rFonts w:ascii="Times New Roman" w:hAnsi="Times New Roman" w:cs="Times New Roman"/>
          <w:b/>
          <w:sz w:val="28"/>
          <w:szCs w:val="28"/>
        </w:rPr>
        <w:t>2</w:t>
      </w:r>
      <w:r w:rsidR="00C15F18">
        <w:rPr>
          <w:rFonts w:ascii="Times New Roman" w:hAnsi="Times New Roman" w:cs="Times New Roman"/>
          <w:b/>
          <w:sz w:val="28"/>
          <w:szCs w:val="28"/>
        </w:rPr>
        <w:t>8</w:t>
      </w:r>
      <w:r w:rsidR="00BE300F">
        <w:rPr>
          <w:rFonts w:ascii="Times New Roman" w:hAnsi="Times New Roman" w:cs="Times New Roman"/>
          <w:b/>
          <w:sz w:val="28"/>
          <w:szCs w:val="28"/>
        </w:rPr>
        <w:t>.</w:t>
      </w:r>
      <w:r w:rsidR="00002333">
        <w:rPr>
          <w:rFonts w:ascii="Times New Roman" w:hAnsi="Times New Roman" w:cs="Times New Roman"/>
          <w:b/>
          <w:sz w:val="28"/>
          <w:szCs w:val="28"/>
        </w:rPr>
        <w:t>11</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1" w:name="_Hlk84866538"/>
      <w:r w:rsidR="001B401F">
        <w:rPr>
          <w:rFonts w:ascii="Times New Roman" w:hAnsi="Times New Roman" w:cs="Times New Roman"/>
          <w:sz w:val="28"/>
          <w:szCs w:val="28"/>
        </w:rPr>
        <w:t>Фадеева Кристина Олеговна</w:t>
      </w:r>
    </w:p>
    <w:bookmarkEnd w:id="1"/>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207A8D0E" w14:textId="2FF27BC6" w:rsidR="00937DA0" w:rsidRPr="00B44415" w:rsidRDefault="00C15F18" w:rsidP="00B2089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29</w:t>
      </w:r>
      <w:r w:rsidR="00937DA0" w:rsidRPr="00B44415">
        <w:rPr>
          <w:rFonts w:ascii="Times New Roman" w:hAnsi="Times New Roman" w:cs="Times New Roman"/>
          <w:b/>
          <w:sz w:val="28"/>
          <w:szCs w:val="28"/>
        </w:rPr>
        <w:t>.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357B7E8C"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w:t>
      </w:r>
      <w:r w:rsidR="00C15F18">
        <w:rPr>
          <w:rFonts w:ascii="Times New Roman" w:hAnsi="Times New Roman" w:cs="Times New Roman"/>
          <w:b/>
          <w:sz w:val="28"/>
          <w:szCs w:val="28"/>
        </w:rPr>
        <w:t>0</w:t>
      </w:r>
      <w:r w:rsidRPr="00B44415">
        <w:rPr>
          <w:rFonts w:ascii="Times New Roman" w:hAnsi="Times New Roman" w:cs="Times New Roman"/>
          <w:b/>
          <w:sz w:val="28"/>
          <w:szCs w:val="28"/>
        </w:rPr>
        <w:t>.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C3F867D"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Приложение №1 – </w:t>
      </w:r>
      <w:r w:rsidR="007F346B">
        <w:rPr>
          <w:rFonts w:ascii="Times New Roman" w:hAnsi="Times New Roman" w:cs="Times New Roman"/>
          <w:sz w:val="28"/>
          <w:szCs w:val="28"/>
        </w:rPr>
        <w:t>К</w:t>
      </w:r>
      <w:r w:rsidR="007F346B" w:rsidRPr="007F346B">
        <w:rPr>
          <w:rFonts w:ascii="Times New Roman" w:hAnsi="Times New Roman" w:cs="Times New Roman"/>
          <w:sz w:val="28"/>
          <w:szCs w:val="28"/>
        </w:rPr>
        <w:t>ритерии оценки заявок на участие в открытом конкурсе</w:t>
      </w:r>
    </w:p>
    <w:p w14:paraId="1778322A" w14:textId="15CC0DDF" w:rsidR="007F346B"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503CEB45" w14:textId="28609612" w:rsidR="00032CDB" w:rsidRPr="00B44415" w:rsidRDefault="00032CDB"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№3 – О</w:t>
      </w:r>
      <w:r w:rsidRPr="00032CDB">
        <w:rPr>
          <w:rFonts w:ascii="Times New Roman" w:hAnsi="Times New Roman" w:cs="Times New Roman"/>
          <w:sz w:val="28"/>
          <w:szCs w:val="28"/>
        </w:rPr>
        <w:t>бразцы форм и документов для заполнения участниками размещения заказа</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2CDB"/>
    <w:rsid w:val="00035578"/>
    <w:rsid w:val="00063BFC"/>
    <w:rsid w:val="00124710"/>
    <w:rsid w:val="00137165"/>
    <w:rsid w:val="00137B4F"/>
    <w:rsid w:val="001453D9"/>
    <w:rsid w:val="00156BC4"/>
    <w:rsid w:val="00180434"/>
    <w:rsid w:val="001A3670"/>
    <w:rsid w:val="001A41F6"/>
    <w:rsid w:val="001B401F"/>
    <w:rsid w:val="001D48E4"/>
    <w:rsid w:val="00221A0A"/>
    <w:rsid w:val="00224000"/>
    <w:rsid w:val="002572D9"/>
    <w:rsid w:val="00262FEA"/>
    <w:rsid w:val="00286710"/>
    <w:rsid w:val="002D079D"/>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1BC4"/>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346B"/>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646C3"/>
    <w:rsid w:val="00A81252"/>
    <w:rsid w:val="00A84FD5"/>
    <w:rsid w:val="00AB0F7E"/>
    <w:rsid w:val="00B20896"/>
    <w:rsid w:val="00B44415"/>
    <w:rsid w:val="00B669E8"/>
    <w:rsid w:val="00B670DF"/>
    <w:rsid w:val="00BC5B21"/>
    <w:rsid w:val="00BE300F"/>
    <w:rsid w:val="00C05458"/>
    <w:rsid w:val="00C15F18"/>
    <w:rsid w:val="00C43282"/>
    <w:rsid w:val="00C54CC6"/>
    <w:rsid w:val="00C563EA"/>
    <w:rsid w:val="00C94B72"/>
    <w:rsid w:val="00CA5665"/>
    <w:rsid w:val="00CB3F27"/>
    <w:rsid w:val="00CD551F"/>
    <w:rsid w:val="00CD7A4E"/>
    <w:rsid w:val="00CE2191"/>
    <w:rsid w:val="00D0013A"/>
    <w:rsid w:val="00D20E51"/>
    <w:rsid w:val="00D30C97"/>
    <w:rsid w:val="00D67B0B"/>
    <w:rsid w:val="00D7373C"/>
    <w:rsid w:val="00E103CB"/>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14</Pages>
  <Words>4628</Words>
  <Characters>26383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9</cp:revision>
  <cp:lastPrinted>2021-11-16T12:11:00Z</cp:lastPrinted>
  <dcterms:created xsi:type="dcterms:W3CDTF">2022-11-09T13:17:00Z</dcterms:created>
  <dcterms:modified xsi:type="dcterms:W3CDTF">2022-11-21T09:26:00Z</dcterms:modified>
</cp:coreProperties>
</file>